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4 – Executive agencies – RO" w:id="1"/>
      <w:bookmarkEnd w:id="1"/>
      <w:r>
        <w:rPr/>
      </w:r>
      <w:r>
        <w:rPr>
          <w:color w:val="FF0000"/>
        </w:rPr>
        <w:t>4</w:t>
      </w:r>
      <w:r>
        <w:rPr>
          <w:color w:val="FF0000"/>
          <w:spacing w:val="-3"/>
        </w:rPr>
        <w:t> </w:t>
      </w:r>
      <w:r>
        <w:rPr>
          <w:color w:val="FF0000"/>
        </w:rPr>
        <w:t>–</w:t>
      </w:r>
      <w:r>
        <w:rPr>
          <w:color w:val="FF0000"/>
          <w:spacing w:val="-3"/>
        </w:rPr>
        <w:t> </w:t>
      </w:r>
      <w:r>
        <w:rPr>
          <w:color w:val="FF0000"/>
        </w:rPr>
        <w:t>Executive</w:t>
      </w:r>
      <w:r>
        <w:rPr>
          <w:color w:val="FF0000"/>
          <w:spacing w:val="-2"/>
        </w:rPr>
        <w:t> </w:t>
      </w:r>
      <w:r>
        <w:rPr>
          <w:color w:val="FF0000"/>
        </w:rPr>
        <w:t>agencies</w:t>
      </w:r>
      <w:r>
        <w:rPr>
          <w:color w:val="FF0000"/>
          <w:spacing w:val="-3"/>
        </w:rPr>
        <w:t> </w:t>
      </w:r>
      <w:r>
        <w:rPr>
          <w:color w:val="FF0000"/>
        </w:rPr>
        <w:t>–</w:t>
      </w:r>
      <w:r>
        <w:rPr>
          <w:color w:val="FF0000"/>
          <w:spacing w:val="-2"/>
        </w:rPr>
        <w:t> </w:t>
      </w:r>
      <w:r>
        <w:rPr>
          <w:color w:val="FF0000"/>
          <w:spacing w:val="-7"/>
        </w:rPr>
        <w:t>RO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right="2933"/>
      </w:pPr>
      <w:r>
        <w:rPr/>
        <w:t>Ediție</w:t>
      </w:r>
      <w:r>
        <w:rPr>
          <w:spacing w:val="-6"/>
        </w:rPr>
        <w:t> </w:t>
      </w:r>
      <w:r>
        <w:rPr/>
        <w:t>revizuită/Ediție</w:t>
      </w:r>
      <w:r>
        <w:rPr>
          <w:spacing w:val="-6"/>
        </w:rPr>
        <w:t> </w:t>
      </w:r>
      <w:r>
        <w:rPr/>
        <w:t>corectată/Ediția</w:t>
      </w:r>
      <w:r>
        <w:rPr>
          <w:spacing w:val="-6"/>
        </w:rPr>
        <w:t> </w:t>
      </w:r>
      <w:r>
        <w:rPr/>
        <w:t>întâi/Ediția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doua/Ediția</w:t>
      </w:r>
      <w:r>
        <w:rPr>
          <w:spacing w:val="-6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6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90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348" w:lineRule="auto"/>
        <w:ind w:right="7602"/>
      </w:pPr>
      <w:r>
        <w:rPr/>
        <w:t>© [Agenția executivă ], [anul]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29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[Agenția</w:t>
      </w:r>
      <w:r>
        <w:rPr>
          <w:spacing w:val="-4"/>
        </w:rPr>
        <w:t> </w:t>
      </w:r>
      <w:r>
        <w:rPr/>
        <w:t>executivă</w:t>
      </w:r>
      <w:r>
        <w:rPr>
          <w:spacing w:val="-4"/>
        </w:rPr>
        <w:t> </w:t>
      </w:r>
      <w:r>
        <w:rPr/>
        <w:t>],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</w:t>
      </w:r>
      <w:r>
        <w:rPr>
          <w:spacing w:val="-4"/>
        </w:rPr>
        <w:t> </w:t>
      </w:r>
      <w:r>
        <w:rPr/>
        <w:t>[numele</w:t>
      </w:r>
      <w:r>
        <w:rPr>
          <w:spacing w:val="-4"/>
        </w:rPr>
        <w:t> </w:t>
      </w:r>
      <w:r>
        <w:rPr/>
        <w:t>instrumentului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580"/>
        <w:jc w:val="both"/>
      </w:pPr>
      <w:r>
        <w:rPr/>
        <w:t>Agențiile</w:t>
      </w:r>
      <w:r>
        <w:rPr>
          <w:spacing w:val="-4"/>
        </w:rPr>
        <w:t> </w:t>
      </w:r>
      <w:r>
        <w:rPr/>
        <w:t>executive</w:t>
      </w:r>
      <w:r>
        <w:rPr>
          <w:spacing w:val="-4"/>
        </w:rPr>
        <w:t> </w:t>
      </w:r>
      <w:r>
        <w:rPr/>
        <w:t>aplică</w:t>
      </w:r>
      <w:r>
        <w:rPr>
          <w:spacing w:val="-4"/>
        </w:rPr>
        <w:t> </w:t>
      </w:r>
      <w:r>
        <w:rPr/>
        <w:t>politica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reutilizare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Comisiei,</w:t>
      </w:r>
      <w:r>
        <w:rPr>
          <w:spacing w:val="-4"/>
        </w:rPr>
        <w:t> </w:t>
      </w:r>
      <w:r>
        <w:rPr/>
        <w:t>care</w:t>
      </w:r>
      <w:r>
        <w:rPr>
          <w:spacing w:val="-4"/>
        </w:rPr>
        <w:t> </w:t>
      </w:r>
      <w:r>
        <w:rPr/>
        <w:t>este</w:t>
      </w:r>
      <w:r>
        <w:rPr>
          <w:spacing w:val="-4"/>
        </w:rPr>
        <w:t> </w:t>
      </w:r>
      <w:r>
        <w:rPr/>
        <w:t>pusă</w:t>
      </w:r>
      <w:r>
        <w:rPr>
          <w:spacing w:val="-4"/>
        </w:rPr>
        <w:t> </w:t>
      </w:r>
      <w:r>
        <w:rPr/>
        <w:t>în</w:t>
      </w:r>
      <w:r>
        <w:rPr>
          <w:spacing w:val="-4"/>
        </w:rPr>
        <w:t> </w:t>
      </w:r>
      <w:r>
        <w:rPr/>
        <w:t>aplicare</w:t>
      </w:r>
      <w:r>
        <w:rPr>
          <w:spacing w:val="-4"/>
        </w:rPr>
        <w:t> </w:t>
      </w:r>
      <w:r>
        <w:rPr/>
        <w:t>prin</w:t>
      </w:r>
      <w:r>
        <w:rPr>
          <w:spacing w:val="-4"/>
        </w:rPr>
        <w:t> </w:t>
      </w:r>
      <w:r>
        <w:rPr/>
        <w:t>Decizia</w:t>
      </w:r>
      <w:r>
        <w:rPr>
          <w:spacing w:val="-4"/>
        </w:rPr>
        <w:t> </w:t>
      </w:r>
      <w:r>
        <w:rPr/>
        <w:t>2011/833/UE a</w:t>
      </w:r>
      <w:r>
        <w:rPr>
          <w:spacing w:val="-5"/>
        </w:rPr>
        <w:t> </w:t>
      </w:r>
      <w:r>
        <w:rPr/>
        <w:t>Comisiei</w:t>
      </w:r>
      <w:r>
        <w:rPr>
          <w:spacing w:val="-5"/>
        </w:rPr>
        <w:t> </w:t>
      </w:r>
      <w:r>
        <w:rPr/>
        <w:t>din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decembrie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privind</w:t>
      </w:r>
      <w:r>
        <w:rPr>
          <w:spacing w:val="-5"/>
        </w:rPr>
        <w:t> </w:t>
      </w:r>
      <w:r>
        <w:rPr/>
        <w:t>reutilizarea</w:t>
      </w:r>
      <w:r>
        <w:rPr>
          <w:spacing w:val="-5"/>
        </w:rPr>
        <w:t> </w:t>
      </w:r>
      <w:r>
        <w:rPr/>
        <w:t>documentelor</w:t>
      </w:r>
      <w:r>
        <w:rPr>
          <w:spacing w:val="-5"/>
        </w:rPr>
        <w:t> </w:t>
      </w:r>
      <w:r>
        <w:rPr/>
        <w:t>Comisiei</w:t>
      </w:r>
      <w:r>
        <w:rPr>
          <w:spacing w:val="-5"/>
        </w:rPr>
        <w:t> </w:t>
      </w:r>
      <w:r>
        <w:rPr/>
        <w:t>(JO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Cu excepția cazului în care se prevede altfel, reutilizarea prezentului document este autorizată în temeiul licenței Creative 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</w:t>
        </w:r>
      </w:hyperlink>
      <w:r>
        <w:rPr>
          <w:u w:val="none"/>
        </w:rPr>
        <w:t>). Aceasta înseamnă</w:t>
      </w:r>
      <w:r>
        <w:rPr>
          <w:spacing w:val="-3"/>
          <w:u w:val="none"/>
        </w:rPr>
        <w:t> </w:t>
      </w:r>
      <w:r>
        <w:rPr>
          <w:u w:val="none"/>
        </w:rPr>
        <w:t>că</w:t>
      </w:r>
      <w:r>
        <w:rPr>
          <w:spacing w:val="-3"/>
          <w:u w:val="none"/>
        </w:rPr>
        <w:t> </w:t>
      </w:r>
      <w:r>
        <w:rPr>
          <w:u w:val="none"/>
        </w:rPr>
        <w:t>reutilizarea</w:t>
      </w:r>
      <w:r>
        <w:rPr>
          <w:spacing w:val="-3"/>
          <w:u w:val="none"/>
        </w:rPr>
        <w:t> </w:t>
      </w:r>
      <w:r>
        <w:rPr>
          <w:u w:val="none"/>
        </w:rPr>
        <w:t>este</w:t>
      </w:r>
      <w:r>
        <w:rPr>
          <w:spacing w:val="-3"/>
          <w:u w:val="none"/>
        </w:rPr>
        <w:t> </w:t>
      </w:r>
      <w:r>
        <w:rPr>
          <w:u w:val="none"/>
        </w:rPr>
        <w:t>autorizată,</w:t>
      </w:r>
      <w:r>
        <w:rPr>
          <w:spacing w:val="-3"/>
          <w:u w:val="none"/>
        </w:rPr>
        <w:t> </w:t>
      </w:r>
      <w:r>
        <w:rPr>
          <w:u w:val="none"/>
        </w:rPr>
        <w:t>cu</w:t>
      </w:r>
      <w:r>
        <w:rPr>
          <w:spacing w:val="-3"/>
          <w:u w:val="none"/>
        </w:rPr>
        <w:t> </w:t>
      </w:r>
      <w:r>
        <w:rPr>
          <w:u w:val="none"/>
        </w:rPr>
        <w:t>condiția</w:t>
      </w:r>
      <w:r>
        <w:rPr>
          <w:spacing w:val="-3"/>
          <w:u w:val="none"/>
        </w:rPr>
        <w:t> </w:t>
      </w:r>
      <w:r>
        <w:rPr>
          <w:u w:val="none"/>
        </w:rPr>
        <w:t>ca</w:t>
      </w:r>
      <w:r>
        <w:rPr>
          <w:spacing w:val="-3"/>
          <w:u w:val="none"/>
        </w:rPr>
        <w:t> </w:t>
      </w:r>
      <w:r>
        <w:rPr>
          <w:u w:val="none"/>
        </w:rPr>
        <w:t>sursa</w:t>
      </w:r>
      <w:r>
        <w:rPr>
          <w:spacing w:val="-3"/>
          <w:u w:val="none"/>
        </w:rPr>
        <w:t> </w:t>
      </w:r>
      <w:r>
        <w:rPr>
          <w:u w:val="none"/>
        </w:rPr>
        <w:t>documentului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recunoscută</w:t>
      </w:r>
      <w:r>
        <w:rPr>
          <w:spacing w:val="-3"/>
          <w:u w:val="none"/>
        </w:rPr>
        <w:t> </w:t>
      </w:r>
      <w:r>
        <w:rPr>
          <w:u w:val="none"/>
        </w:rPr>
        <w:t>și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indicate</w:t>
      </w:r>
      <w:r>
        <w:rPr>
          <w:spacing w:val="-3"/>
          <w:u w:val="none"/>
        </w:rPr>
        <w:t> </w:t>
      </w:r>
      <w:r>
        <w:rPr>
          <w:u w:val="none"/>
        </w:rPr>
        <w:t>orice </w:t>
      </w:r>
      <w:r>
        <w:rPr>
          <w:spacing w:val="-2"/>
          <w:u w:val="none"/>
        </w:rPr>
        <w:t>modificări.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 Uniunea Europeană sau [agenția executivă] 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[elementul</w:t>
      </w:r>
      <w:r>
        <w:rPr>
          <w:spacing w:val="-6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5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z w:val="20"/>
        </w:rPr>
        <w:t>Adobe</w:t>
      </w:r>
      <w:r>
        <w:rPr>
          <w:spacing w:val="-6"/>
          <w:sz w:val="20"/>
        </w:rPr>
        <w:t> </w:t>
      </w:r>
      <w:r>
        <w:rPr>
          <w:sz w:val="20"/>
        </w:rPr>
        <w:t>Stock],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43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Flickr],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[linkul</w:t>
      </w:r>
      <w:r>
        <w:rPr>
          <w:spacing w:val="-3"/>
          <w:sz w:val="20"/>
        </w:rPr>
        <w:t> </w:t>
      </w:r>
      <w:r>
        <w:rPr>
          <w:sz w:val="20"/>
        </w:rPr>
        <w:t>către </w:t>
      </w:r>
      <w:r>
        <w:rPr>
          <w:spacing w:val="-2"/>
          <w:sz w:val="20"/>
        </w:rPr>
        <w:t>licență];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3"/>
        <w:gridCol w:w="2816"/>
        <w:gridCol w:w="2039"/>
        <w:gridCol w:w="2194"/>
        <w:gridCol w:w="2210"/>
      </w:tblGrid>
      <w:tr>
        <w:trPr>
          <w:trHeight w:val="257" w:hRule="atLeast"/>
        </w:trPr>
        <w:tc>
          <w:tcPr>
            <w:tcW w:w="773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>
            <w:pPr>
              <w:pStyle w:val="TableParagraph"/>
              <w:spacing w:line="223" w:lineRule="exact" w:before="0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spacing w:line="223" w:lineRule="exact" w:before="0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spacing w:line="223" w:lineRule="exact" w:before="0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spacing w:line="223" w:lineRule="exact" w:before="0"/>
              <w:ind w:right="5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3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>
            <w:pPr>
              <w:pStyle w:val="TableParagraph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ind w:right="5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3" w:type="dxa"/>
          </w:tcPr>
          <w:p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>
            <w:pPr>
              <w:pStyle w:val="TableParagraph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ind w:right="72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3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>
            <w:pPr>
              <w:pStyle w:val="TableParagraph"/>
              <w:spacing w:line="210" w:lineRule="exact"/>
              <w:ind w:right="4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>
            <w:pPr>
              <w:pStyle w:val="TableParagraph"/>
              <w:spacing w:line="210" w:lineRule="exact"/>
              <w:ind w:right="5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>
            <w:pPr>
              <w:pStyle w:val="TableParagraph"/>
              <w:spacing w:line="210" w:lineRule="exact"/>
              <w:ind w:right="4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134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website </w:t>
      </w:r>
      <w:bookmarkStart w:name="_bookmark3" w:id="5"/>
      <w:bookmarkEnd w:id="5"/>
      <w:r>
        <w:rPr>
          <w:sz w:val="18"/>
        </w:rPr>
        <w:t>(</w:t>
      </w:r>
      <w:hyperlink r:id="rId8">
        <w:r>
          <w:rPr>
            <w:color w:val="0000FF"/>
            <w:sz w:val="18"/>
            <w:u w:val="single" w:color="0000FF"/>
          </w:rPr>
          <w:t>Disclaimers in 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118" w:firstLine="0"/>
        <w:jc w:val="left"/>
        <w:rPr>
          <w:sz w:val="18"/>
        </w:rPr>
      </w:pPr>
      <w:r>
        <w:rPr>
          <w:sz w:val="18"/>
        </w:rPr>
        <w:t>Reutilizarea textului este autorizată cu condiția menționării sursei și a păstrării nealterate a sensului sau a mesajului original al acestui document. Comisia Europeană nu este responsabilă pentru modul în care ar putea fi reutilizată prezenta</w:t>
      </w:r>
      <w:r>
        <w:rPr>
          <w:spacing w:val="-5"/>
          <w:sz w:val="18"/>
        </w:rPr>
        <w:t> </w:t>
      </w:r>
      <w:r>
        <w:rPr>
          <w:sz w:val="18"/>
        </w:rPr>
        <w:t>publicație.</w:t>
      </w:r>
      <w:r>
        <w:rPr>
          <w:spacing w:val="-5"/>
          <w:sz w:val="18"/>
        </w:rPr>
        <w:t> </w:t>
      </w:r>
      <w:r>
        <w:rPr>
          <w:sz w:val="18"/>
        </w:rPr>
        <w:t>Politica</w:t>
      </w:r>
      <w:r>
        <w:rPr>
          <w:spacing w:val="-5"/>
          <w:sz w:val="18"/>
        </w:rPr>
        <w:t> </w:t>
      </w:r>
      <w:r>
        <w:rPr>
          <w:sz w:val="18"/>
        </w:rPr>
        <w:t>de</w:t>
      </w:r>
      <w:r>
        <w:rPr>
          <w:spacing w:val="-5"/>
          <w:sz w:val="18"/>
        </w:rPr>
        <w:t> </w:t>
      </w:r>
      <w:r>
        <w:rPr>
          <w:sz w:val="18"/>
        </w:rPr>
        <w:t>reutilizare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5"/>
          <w:sz w:val="18"/>
        </w:rPr>
        <w:t> </w:t>
      </w:r>
      <w:r>
        <w:rPr>
          <w:sz w:val="18"/>
        </w:rPr>
        <w:t>documentelor</w:t>
      </w:r>
      <w:r>
        <w:rPr>
          <w:spacing w:val="-5"/>
          <w:sz w:val="18"/>
        </w:rPr>
        <w:t> </w:t>
      </w:r>
      <w:r>
        <w:rPr>
          <w:sz w:val="18"/>
        </w:rPr>
        <w:t>Comisiei</w:t>
      </w:r>
      <w:r>
        <w:rPr>
          <w:spacing w:val="-5"/>
          <w:sz w:val="18"/>
        </w:rPr>
        <w:t> </w:t>
      </w:r>
      <w:r>
        <w:rPr>
          <w:sz w:val="18"/>
        </w:rPr>
        <w:t>Europene</w:t>
      </w:r>
      <w:r>
        <w:rPr>
          <w:spacing w:val="-5"/>
          <w:sz w:val="18"/>
        </w:rPr>
        <w:t> </w:t>
      </w:r>
      <w:r>
        <w:rPr>
          <w:sz w:val="18"/>
        </w:rPr>
        <w:t>este</w:t>
      </w:r>
      <w:r>
        <w:rPr>
          <w:spacing w:val="-5"/>
          <w:sz w:val="18"/>
        </w:rPr>
        <w:t> </w:t>
      </w:r>
      <w:r>
        <w:rPr>
          <w:sz w:val="18"/>
        </w:rPr>
        <w:t>reglementată</w:t>
      </w:r>
      <w:r>
        <w:rPr>
          <w:spacing w:val="-5"/>
          <w:sz w:val="18"/>
        </w:rPr>
        <w:t> </w:t>
      </w:r>
      <w:r>
        <w:rPr>
          <w:sz w:val="18"/>
        </w:rPr>
        <w:t>prin</w:t>
      </w:r>
      <w:r>
        <w:rPr>
          <w:spacing w:val="-5"/>
          <w:sz w:val="18"/>
        </w:rPr>
        <w:t> </w:t>
      </w:r>
      <w:r>
        <w:rPr>
          <w:sz w:val="18"/>
        </w:rPr>
        <w:t>Decizia</w:t>
      </w:r>
      <w:r>
        <w:rPr>
          <w:spacing w:val="-5"/>
          <w:sz w:val="18"/>
        </w:rPr>
        <w:t> </w:t>
      </w:r>
      <w:r>
        <w:rPr>
          <w:sz w:val="18"/>
        </w:rPr>
        <w:t>2011/833/ UE a Comisiei din 12 decembrie 2011 privind reutilizarea documentelor Comisiei (JO L 330, 14.12.2011, p. 39, ELI: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80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/>
        <w:t>În</w:t>
      </w:r>
      <w:r>
        <w:rPr>
          <w:spacing w:val="-2"/>
        </w:rPr>
        <w:t> persoană</w:t>
      </w:r>
    </w:p>
    <w:p>
      <w:pPr>
        <w:spacing w:line="280" w:lineRule="auto" w:before="167"/>
        <w:ind w:left="85" w:right="0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3"/>
          <w:sz w:val="22"/>
        </w:rPr>
        <w:t> </w:t>
      </w:r>
      <w:r>
        <w:rPr>
          <w:sz w:val="22"/>
        </w:rPr>
        <w:t>întreaga</w:t>
      </w:r>
      <w:r>
        <w:rPr>
          <w:spacing w:val="-3"/>
          <w:sz w:val="22"/>
        </w:rPr>
        <w:t> </w:t>
      </w:r>
      <w:r>
        <w:rPr>
          <w:sz w:val="22"/>
        </w:rPr>
        <w:t>Uniune</w:t>
      </w:r>
      <w:r>
        <w:rPr>
          <w:spacing w:val="-3"/>
          <w:sz w:val="22"/>
        </w:rPr>
        <w:t> </w:t>
      </w:r>
      <w:r>
        <w:rPr>
          <w:sz w:val="22"/>
        </w:rPr>
        <w:t>Europeană</w:t>
      </w:r>
      <w:r>
        <w:rPr>
          <w:spacing w:val="-3"/>
          <w:sz w:val="22"/>
        </w:rPr>
        <w:t> </w:t>
      </w:r>
      <w:r>
        <w:rPr>
          <w:sz w:val="22"/>
        </w:rPr>
        <w:t>există</w:t>
      </w:r>
      <w:r>
        <w:rPr>
          <w:spacing w:val="-3"/>
          <w:sz w:val="22"/>
        </w:rPr>
        <w:t> </w:t>
      </w:r>
      <w:r>
        <w:rPr>
          <w:sz w:val="22"/>
        </w:rPr>
        <w:t>sute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centre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Puteți</w:t>
      </w:r>
      <w:r>
        <w:rPr>
          <w:spacing w:val="-3"/>
          <w:sz w:val="22"/>
        </w:rPr>
        <w:t> </w:t>
      </w:r>
      <w:r>
        <w:rPr>
          <w:sz w:val="22"/>
        </w:rPr>
        <w:t>găsi</w:t>
      </w:r>
      <w:r>
        <w:rPr>
          <w:spacing w:val="-3"/>
          <w:sz w:val="22"/>
        </w:rPr>
        <w:t> </w:t>
      </w:r>
      <w:r>
        <w:rPr>
          <w:sz w:val="22"/>
        </w:rPr>
        <w:t>adresa</w:t>
      </w:r>
      <w:r>
        <w:rPr>
          <w:spacing w:val="-3"/>
          <w:sz w:val="22"/>
        </w:rPr>
        <w:t> </w:t>
      </w:r>
      <w:r>
        <w:rPr>
          <w:sz w:val="22"/>
        </w:rPr>
        <w:t>centrului</w:t>
      </w:r>
      <w:r>
        <w:rPr>
          <w:spacing w:val="-3"/>
          <w:sz w:val="22"/>
        </w:rPr>
        <w:t> </w:t>
      </w:r>
      <w:r>
        <w:rPr>
          <w:sz w:val="22"/>
        </w:rPr>
        <w:t>cel</w:t>
      </w:r>
      <w:r>
        <w:rPr>
          <w:spacing w:val="-3"/>
          <w:sz w:val="22"/>
        </w:rPr>
        <w:t> </w:t>
      </w:r>
      <w:r>
        <w:rPr>
          <w:sz w:val="22"/>
        </w:rPr>
        <w:t>mai apropiat de dumneavoastră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</w:t>
        </w:r>
      </w:hyperlink>
      <w:hyperlink r:id="rId10">
        <w:r>
          <w:rPr>
            <w:rFonts w:ascii="Palatino Linotype" w:hAnsi="Palatino Linotype"/>
            <w:color w:val="0000FF"/>
            <w:sz w:val="22"/>
            <w:u w:val="single" w:color="0000FF"/>
          </w:rPr>
          <w:t>‑</w:t>
        </w:r>
      </w:hyperlink>
      <w:hyperlink r:id="rId10">
        <w:r>
          <w:rPr>
            <w:color w:val="0000FF"/>
            <w:sz w:val="22"/>
            <w:u w:val="single" w:color="0000FF"/>
          </w:rPr>
          <w:t>eu/meet-us_ro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0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85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accesa acest serviciu:</w:t>
      </w:r>
    </w:p>
    <w:p>
      <w:pPr>
        <w:pStyle w:val="ListParagraph"/>
        <w:numPr>
          <w:ilvl w:val="0"/>
          <w:numId w:val="3"/>
        </w:numPr>
        <w:tabs>
          <w:tab w:pos="474" w:val="left" w:leader="none"/>
        </w:tabs>
        <w:spacing w:line="240" w:lineRule="auto" w:before="113" w:after="0"/>
        <w:ind w:left="474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474" w:val="left" w:leader="none"/>
        </w:tabs>
        <w:spacing w:line="240" w:lineRule="auto" w:before="53" w:after="0"/>
        <w:ind w:left="474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474" w:val="left" w:leader="none"/>
        </w:tabs>
        <w:spacing w:line="240" w:lineRule="auto" w:before="42" w:after="0"/>
        <w:ind w:left="474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1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4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</w:t>
        </w:r>
      </w:hyperlink>
      <w:hyperlink r:id="rId11">
        <w:r>
          <w:rPr>
            <w:rFonts w:ascii="Palatino Linotype" w:hAnsi="Palatino Linotype"/>
            <w:color w:val="0000FF"/>
            <w:spacing w:val="-2"/>
            <w:sz w:val="22"/>
            <w:u w:val="single" w:color="0000FF"/>
          </w:rPr>
          <w:t>‑</w:t>
        </w:r>
      </w:hyperlink>
      <w:hyperlink r:id="rId11">
        <w:r>
          <w:rPr>
            <w:color w:val="0000FF"/>
            <w:spacing w:val="-2"/>
            <w:sz w:val="22"/>
            <w:u w:val="single" w:color="0000FF"/>
          </w:rPr>
          <w:t>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spacing w:before="182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85" w:right="505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5"/>
          <w:sz w:val="22"/>
        </w:rPr>
        <w:t> </w:t>
      </w:r>
      <w:r>
        <w:rPr>
          <w:sz w:val="22"/>
        </w:rPr>
        <w:t>despre</w:t>
      </w:r>
      <w:r>
        <w:rPr>
          <w:spacing w:val="-3"/>
          <w:sz w:val="22"/>
        </w:rPr>
        <w:t> </w:t>
      </w:r>
      <w:r>
        <w:rPr>
          <w:sz w:val="22"/>
        </w:rPr>
        <w:t>Uniunea</w:t>
      </w:r>
      <w:r>
        <w:rPr>
          <w:spacing w:val="-3"/>
          <w:sz w:val="22"/>
        </w:rPr>
        <w:t> </w:t>
      </w:r>
      <w:r>
        <w:rPr>
          <w:sz w:val="22"/>
        </w:rPr>
        <w:t>Europeană</w:t>
      </w:r>
      <w:r>
        <w:rPr>
          <w:spacing w:val="-3"/>
          <w:sz w:val="22"/>
        </w:rPr>
        <w:t> </w:t>
      </w:r>
      <w:r>
        <w:rPr>
          <w:sz w:val="22"/>
        </w:rPr>
        <w:t>în</w:t>
      </w:r>
      <w:r>
        <w:rPr>
          <w:spacing w:val="-3"/>
          <w:sz w:val="22"/>
        </w:rPr>
        <w:t> </w:t>
      </w:r>
      <w:r>
        <w:rPr>
          <w:sz w:val="22"/>
        </w:rPr>
        <w:t>toate</w:t>
      </w:r>
      <w:r>
        <w:rPr>
          <w:spacing w:val="-3"/>
          <w:sz w:val="22"/>
        </w:rPr>
        <w:t> </w:t>
      </w:r>
      <w:r>
        <w:rPr>
          <w:sz w:val="22"/>
        </w:rPr>
        <w:t>limbile</w:t>
      </w:r>
      <w:r>
        <w:rPr>
          <w:spacing w:val="-3"/>
          <w:sz w:val="22"/>
        </w:rPr>
        <w:t> </w:t>
      </w:r>
      <w:r>
        <w:rPr>
          <w:sz w:val="22"/>
        </w:rPr>
        <w:t>oficiale</w:t>
      </w:r>
      <w:r>
        <w:rPr>
          <w:spacing w:val="-3"/>
          <w:sz w:val="22"/>
        </w:rPr>
        <w:t> </w:t>
      </w:r>
      <w:r>
        <w:rPr>
          <w:sz w:val="22"/>
        </w:rPr>
        <w:t>ale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sunt</w:t>
      </w:r>
      <w:r>
        <w:rPr>
          <w:spacing w:val="-3"/>
          <w:sz w:val="22"/>
        </w:rPr>
        <w:t> </w:t>
      </w:r>
      <w:r>
        <w:rPr>
          <w:sz w:val="22"/>
        </w:rPr>
        <w:t>disponibile</w:t>
      </w:r>
      <w:r>
        <w:rPr>
          <w:spacing w:val="-3"/>
          <w:sz w:val="22"/>
        </w:rPr>
        <w:t> </w:t>
      </w:r>
      <w:r>
        <w:rPr>
          <w:sz w:val="22"/>
        </w:rPr>
        <w:t>pe</w:t>
      </w:r>
      <w:r>
        <w:rPr>
          <w:spacing w:val="-3"/>
          <w:sz w:val="22"/>
        </w:rPr>
        <w:t> </w:t>
      </w:r>
      <w:r>
        <w:rPr>
          <w:sz w:val="22"/>
        </w:rPr>
        <w:t>site-ul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3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85" w:lineRule="auto" w:before="167"/>
        <w:ind w:left="85" w:right="689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10">
        <w:r>
          <w:rPr>
            <w:color w:val="0000FF"/>
            <w:sz w:val="22"/>
            <w:u w:val="single" w:color="0000FF"/>
          </w:rPr>
          <w:t>european-union.europa.eu/contact</w:t>
        </w:r>
      </w:hyperlink>
      <w:hyperlink r:id="rId10">
        <w:r>
          <w:rPr>
            <w:rFonts w:ascii="Palatino Linotype" w:hAnsi="Palatino Linotype"/>
            <w:color w:val="0000FF"/>
            <w:sz w:val="22"/>
            <w:u w:val="single" w:color="0000FF"/>
          </w:rPr>
          <w:t>‑</w:t>
        </w:r>
      </w:hyperlink>
      <w:hyperlink r:id="rId10">
        <w:r>
          <w:rPr>
            <w:color w:val="0000FF"/>
            <w:sz w:val="22"/>
            <w:u w:val="single" w:color="0000FF"/>
          </w:rPr>
          <w:t>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85" w:right="0" w:firstLine="0"/>
        <w:jc w:val="left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</w:t>
      </w:r>
      <w:r>
        <w:rPr>
          <w:spacing w:val="-3"/>
          <w:sz w:val="22"/>
        </w:rPr>
        <w:t> </w:t>
      </w:r>
      <w:r>
        <w:rPr>
          <w:sz w:val="22"/>
        </w:rPr>
        <w:t>toate versiunile lingvistice oficiale, accesați site-ul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6"/>
        <w:ind w:left="85" w:right="0" w:firstLine="0"/>
        <w:jc w:val="left"/>
        <w:rPr>
          <w:sz w:val="22"/>
        </w:rPr>
      </w:pPr>
      <w:r>
        <w:rPr>
          <w:sz w:val="22"/>
        </w:rPr>
        <w:t>Portalul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și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agențiilor UE. Aceste date pot fi descărcate și reutilizate gratuit, atât în scopuri comerciale, cât și necomerciale.</w:t>
      </w:r>
    </w:p>
    <w:p>
      <w:pPr>
        <w:spacing w:line="253" w:lineRule="exact" w:before="0"/>
        <w:ind w:left="85" w:right="0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7"/>
          <w:sz w:val="22"/>
        </w:rPr>
        <w:t> </w:t>
      </w:r>
      <w:r>
        <w:rPr>
          <w:sz w:val="22"/>
        </w:rPr>
        <w:t>oferă,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asemenea,</w:t>
      </w:r>
      <w:r>
        <w:rPr>
          <w:spacing w:val="-4"/>
          <w:sz w:val="22"/>
        </w:rPr>
        <w:t> </w:t>
      </w:r>
      <w:r>
        <w:rPr>
          <w:sz w:val="22"/>
        </w:rPr>
        <w:t>acces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multitudine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seturi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date</w:t>
      </w:r>
      <w:r>
        <w:rPr>
          <w:spacing w:val="-4"/>
          <w:sz w:val="22"/>
        </w:rPr>
        <w:t> </w:t>
      </w:r>
      <w:r>
        <w:rPr>
          <w:sz w:val="22"/>
        </w:rPr>
        <w:t>din</w:t>
      </w:r>
      <w:r>
        <w:rPr>
          <w:spacing w:val="-5"/>
          <w:sz w:val="22"/>
        </w:rPr>
        <w:t> </w:t>
      </w:r>
      <w:r>
        <w:rPr>
          <w:sz w:val="22"/>
        </w:rPr>
        <w:t>țările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europene.</w:t>
      </w:r>
    </w:p>
    <w:sectPr>
      <w:pgSz w:w="11910" w:h="16840"/>
      <w:pgMar w:top="4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475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81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2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83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5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86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87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88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90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85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96"/>
      <w:ind w:left="85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https://style-guide.europa.eu/en/content/-/isg/multi-aux?identifier=disclaimer-formula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RO</dc:title>
  <dcterms:created xsi:type="dcterms:W3CDTF">2025-08-11T13:40:41Z</dcterms:created>
  <dcterms:modified xsi:type="dcterms:W3CDTF">2025-08-11T13:40:41Z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</Properties>
</file>